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7488F" w14:textId="77777777" w:rsidR="00AB631A" w:rsidRPr="00C67D38" w:rsidRDefault="00AB631A" w:rsidP="00C67D38">
      <w:pPr>
        <w:pStyle w:val="Corpotesto"/>
        <w:spacing w:line="276" w:lineRule="auto"/>
        <w:jc w:val="both"/>
        <w:rPr>
          <w:color w:val="000000" w:themeColor="text1"/>
        </w:rPr>
      </w:pPr>
    </w:p>
    <w:p w14:paraId="0DC4F4D5" w14:textId="77777777" w:rsidR="00AB631A" w:rsidRPr="00C67D38" w:rsidRDefault="00AB631A" w:rsidP="00C67D38">
      <w:pPr>
        <w:pStyle w:val="Corpotesto"/>
        <w:spacing w:line="276" w:lineRule="auto"/>
        <w:jc w:val="both"/>
        <w:rPr>
          <w:color w:val="000000" w:themeColor="text1"/>
        </w:rPr>
      </w:pPr>
    </w:p>
    <w:p w14:paraId="441FA725" w14:textId="53C909D7" w:rsidR="00AB631A" w:rsidRPr="00C67D38" w:rsidRDefault="00FB476C" w:rsidP="00C67D38">
      <w:pPr>
        <w:pStyle w:val="Titolo"/>
        <w:spacing w:line="276" w:lineRule="auto"/>
        <w:rPr>
          <w:color w:val="000000" w:themeColor="text1"/>
          <w:sz w:val="24"/>
          <w:szCs w:val="24"/>
        </w:rPr>
      </w:pPr>
      <w:r w:rsidRPr="00C67D38">
        <w:rPr>
          <w:color w:val="000000" w:themeColor="text1"/>
          <w:sz w:val="24"/>
          <w:szCs w:val="24"/>
        </w:rPr>
        <w:t>PROGRAMMA DIDATTICO D</w:t>
      </w:r>
      <w:r w:rsidR="00483307" w:rsidRPr="00C67D38">
        <w:rPr>
          <w:color w:val="000000" w:themeColor="text1"/>
          <w:sz w:val="24"/>
          <w:szCs w:val="24"/>
        </w:rPr>
        <w:t>IRITTO COSTITUZIONALE</w:t>
      </w:r>
      <w:r w:rsidR="00483307" w:rsidRPr="00C67D38">
        <w:rPr>
          <w:rStyle w:val="Rimandonotaapidipagina"/>
          <w:color w:val="000000" w:themeColor="text1"/>
          <w:sz w:val="24"/>
          <w:szCs w:val="24"/>
        </w:rPr>
        <w:footnoteReference w:id="1"/>
      </w:r>
    </w:p>
    <w:p w14:paraId="0D5C135B" w14:textId="77777777" w:rsidR="00AB631A" w:rsidRPr="00C67D38" w:rsidRDefault="00AB631A" w:rsidP="00C67D38">
      <w:pPr>
        <w:pStyle w:val="Corpotesto"/>
        <w:spacing w:line="276" w:lineRule="auto"/>
        <w:jc w:val="both"/>
        <w:rPr>
          <w:b/>
          <w:color w:val="000000" w:themeColor="text1"/>
        </w:rPr>
      </w:pPr>
    </w:p>
    <w:p w14:paraId="5842A552" w14:textId="77777777" w:rsidR="00AB631A" w:rsidRPr="00C67D38" w:rsidRDefault="00AB631A" w:rsidP="00C67D38">
      <w:pPr>
        <w:pStyle w:val="Corpotesto"/>
        <w:spacing w:before="5" w:line="276" w:lineRule="auto"/>
        <w:jc w:val="both"/>
        <w:rPr>
          <w:b/>
          <w:color w:val="000000" w:themeColor="text1"/>
        </w:rPr>
      </w:pPr>
    </w:p>
    <w:p w14:paraId="6113819F" w14:textId="77777777" w:rsidR="00C67D38" w:rsidRPr="00C67D38" w:rsidRDefault="00C67D38" w:rsidP="00C67D38">
      <w:pPr>
        <w:pStyle w:val="Normale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 w:themeColor="text1"/>
        </w:rPr>
      </w:pPr>
      <w:r w:rsidRPr="00C67D38">
        <w:rPr>
          <w:color w:val="000000" w:themeColor="text1"/>
        </w:rPr>
        <w:t>L’ordinamento giuridico ed il sistema della fonti. </w:t>
      </w:r>
    </w:p>
    <w:p w14:paraId="043DEC81" w14:textId="3BFB5575" w:rsidR="00C67D38" w:rsidRPr="00C67D38" w:rsidRDefault="00C67D38" w:rsidP="00C67D38">
      <w:pPr>
        <w:pStyle w:val="Normale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 w:themeColor="text1"/>
        </w:rPr>
      </w:pPr>
      <w:r w:rsidRPr="00C67D38">
        <w:rPr>
          <w:color w:val="000000" w:themeColor="text1"/>
        </w:rPr>
        <w:t>I criteri di risoluzione delle antinomie normative</w:t>
      </w:r>
      <w:r>
        <w:rPr>
          <w:color w:val="000000" w:themeColor="text1"/>
        </w:rPr>
        <w:t>.</w:t>
      </w:r>
    </w:p>
    <w:p w14:paraId="56A6D559" w14:textId="018807EE" w:rsidR="00C67D38" w:rsidRPr="00C67D38" w:rsidRDefault="00C67D38" w:rsidP="00C67D38">
      <w:pPr>
        <w:pStyle w:val="Normale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C</w:t>
      </w:r>
      <w:r w:rsidRPr="00C67D38">
        <w:rPr>
          <w:color w:val="000000" w:themeColor="text1"/>
        </w:rPr>
        <w:t>onsiderazioni generali sulla destrutturazione del sistema delle fonti.</w:t>
      </w:r>
    </w:p>
    <w:p w14:paraId="0ED5429E" w14:textId="77777777" w:rsidR="00C67D38" w:rsidRPr="00C67D38" w:rsidRDefault="00C67D38" w:rsidP="00C67D38">
      <w:pPr>
        <w:widowControl/>
        <w:autoSpaceDE/>
        <w:autoSpaceDN/>
        <w:spacing w:line="276" w:lineRule="auto"/>
        <w:contextualSpacing/>
        <w:jc w:val="both"/>
        <w:rPr>
          <w:color w:val="000000" w:themeColor="text1"/>
          <w:sz w:val="24"/>
          <w:szCs w:val="24"/>
          <w:lang w:eastAsia="it-IT"/>
        </w:rPr>
      </w:pPr>
      <w:r w:rsidRPr="00C67D38">
        <w:rPr>
          <w:color w:val="000000" w:themeColor="text1"/>
          <w:sz w:val="24"/>
          <w:szCs w:val="24"/>
          <w:shd w:val="clear" w:color="auto" w:fill="FFFFFF"/>
          <w:lang w:eastAsia="it-IT"/>
        </w:rPr>
        <w:t>Tratta delle fonti del diritto UE e dei suoi rapporti con il diritto interno.</w:t>
      </w:r>
    </w:p>
    <w:p w14:paraId="183D012D" w14:textId="77777777" w:rsidR="00C67D38" w:rsidRPr="00C67D38" w:rsidRDefault="00C67D38" w:rsidP="00C67D38">
      <w:pPr>
        <w:widowControl/>
        <w:autoSpaceDE/>
        <w:autoSpaceDN/>
        <w:spacing w:line="276" w:lineRule="auto"/>
        <w:contextualSpacing/>
        <w:jc w:val="both"/>
        <w:rPr>
          <w:color w:val="000000" w:themeColor="text1"/>
          <w:sz w:val="24"/>
          <w:szCs w:val="24"/>
          <w:lang w:eastAsia="it-IT"/>
        </w:rPr>
      </w:pPr>
      <w:r w:rsidRPr="00C67D38">
        <w:rPr>
          <w:color w:val="000000" w:themeColor="text1"/>
          <w:sz w:val="24"/>
          <w:szCs w:val="24"/>
          <w:shd w:val="clear" w:color="auto" w:fill="FFFFFF"/>
          <w:lang w:eastAsia="it-IT"/>
        </w:rPr>
        <w:t>Norme CEDU, leggi provvedimento e decreti legislativi.</w:t>
      </w:r>
    </w:p>
    <w:p w14:paraId="0F27DCA0" w14:textId="340A2C0B" w:rsidR="00C67D38" w:rsidRPr="00C67D38" w:rsidRDefault="00C67D38" w:rsidP="00C67D38">
      <w:pPr>
        <w:widowControl/>
        <w:autoSpaceDE/>
        <w:autoSpaceDN/>
        <w:spacing w:line="276" w:lineRule="auto"/>
        <w:contextualSpacing/>
        <w:jc w:val="both"/>
        <w:rPr>
          <w:color w:val="000000" w:themeColor="text1"/>
          <w:sz w:val="24"/>
          <w:szCs w:val="24"/>
          <w:lang w:eastAsia="it-IT"/>
        </w:rPr>
      </w:pPr>
      <w:r w:rsidRPr="00C67D38">
        <w:rPr>
          <w:color w:val="000000" w:themeColor="text1"/>
          <w:sz w:val="24"/>
          <w:szCs w:val="24"/>
          <w:lang w:eastAsia="it-IT"/>
        </w:rPr>
        <w:t>Decreti legge e regolamenti governativi</w:t>
      </w:r>
      <w:r>
        <w:rPr>
          <w:color w:val="000000" w:themeColor="text1"/>
          <w:sz w:val="24"/>
          <w:szCs w:val="24"/>
          <w:lang w:eastAsia="it-IT"/>
        </w:rPr>
        <w:t>.</w:t>
      </w:r>
    </w:p>
    <w:p w14:paraId="0094A40C" w14:textId="77777777" w:rsidR="00C67D38" w:rsidRPr="00C67D38" w:rsidRDefault="00C67D38" w:rsidP="00C67D38">
      <w:pPr>
        <w:widowControl/>
        <w:autoSpaceDE/>
        <w:autoSpaceDN/>
        <w:spacing w:line="276" w:lineRule="auto"/>
        <w:contextualSpacing/>
        <w:jc w:val="both"/>
        <w:rPr>
          <w:color w:val="000000" w:themeColor="text1"/>
          <w:sz w:val="24"/>
          <w:szCs w:val="24"/>
          <w:lang w:eastAsia="it-IT"/>
        </w:rPr>
      </w:pPr>
      <w:r w:rsidRPr="00C67D38">
        <w:rPr>
          <w:color w:val="000000" w:themeColor="text1"/>
          <w:sz w:val="24"/>
          <w:szCs w:val="24"/>
          <w:shd w:val="clear" w:color="auto" w:fill="FFFFFF"/>
          <w:lang w:eastAsia="it-IT"/>
        </w:rPr>
        <w:t xml:space="preserve">Il potere regolamentare delle </w:t>
      </w:r>
      <w:proofErr w:type="spellStart"/>
      <w:r w:rsidRPr="00C67D38">
        <w:rPr>
          <w:color w:val="000000" w:themeColor="text1"/>
          <w:sz w:val="24"/>
          <w:szCs w:val="24"/>
          <w:shd w:val="clear" w:color="auto" w:fill="FFFFFF"/>
          <w:lang w:eastAsia="it-IT"/>
        </w:rPr>
        <w:t>Authorities</w:t>
      </w:r>
      <w:proofErr w:type="spellEnd"/>
      <w:r w:rsidRPr="00C67D38">
        <w:rPr>
          <w:color w:val="000000" w:themeColor="text1"/>
          <w:sz w:val="24"/>
          <w:szCs w:val="24"/>
          <w:shd w:val="clear" w:color="auto" w:fill="FFFFFF"/>
          <w:lang w:eastAsia="it-IT"/>
        </w:rPr>
        <w:t xml:space="preserve"> e le ordinanze contingibili ed urgenti.</w:t>
      </w:r>
    </w:p>
    <w:p w14:paraId="75C17192" w14:textId="054860DD" w:rsidR="00C67D38" w:rsidRPr="00C67D38" w:rsidRDefault="00C67D38" w:rsidP="00C67D38">
      <w:pPr>
        <w:widowControl/>
        <w:autoSpaceDE/>
        <w:autoSpaceDN/>
        <w:spacing w:line="276" w:lineRule="auto"/>
        <w:contextualSpacing/>
        <w:jc w:val="both"/>
        <w:rPr>
          <w:color w:val="000000" w:themeColor="text1"/>
          <w:sz w:val="24"/>
          <w:szCs w:val="24"/>
          <w:lang w:eastAsia="it-IT"/>
        </w:rPr>
      </w:pPr>
      <w:r w:rsidRPr="00C67D38">
        <w:rPr>
          <w:color w:val="000000" w:themeColor="text1"/>
          <w:sz w:val="24"/>
          <w:szCs w:val="24"/>
          <w:shd w:val="clear" w:color="auto" w:fill="FFFFFF"/>
          <w:lang w:eastAsia="it-IT"/>
        </w:rPr>
        <w:t>Gli elementi costitutivi dello Stato</w:t>
      </w:r>
      <w:r>
        <w:rPr>
          <w:color w:val="000000" w:themeColor="text1"/>
          <w:sz w:val="24"/>
          <w:szCs w:val="24"/>
          <w:shd w:val="clear" w:color="auto" w:fill="FFFFFF"/>
          <w:lang w:eastAsia="it-IT"/>
        </w:rPr>
        <w:t>.</w:t>
      </w:r>
      <w:r w:rsidRPr="00C67D38">
        <w:rPr>
          <w:color w:val="000000" w:themeColor="text1"/>
          <w:sz w:val="24"/>
          <w:szCs w:val="24"/>
          <w:shd w:val="clear" w:color="auto" w:fill="FFFFFF"/>
          <w:lang w:eastAsia="it-IT"/>
        </w:rPr>
        <w:t> </w:t>
      </w:r>
    </w:p>
    <w:p w14:paraId="5B732E56" w14:textId="44B8C0F9" w:rsidR="00C67D38" w:rsidRPr="00C67D38" w:rsidRDefault="00C67D38" w:rsidP="00C67D38">
      <w:pPr>
        <w:widowControl/>
        <w:autoSpaceDE/>
        <w:autoSpaceDN/>
        <w:spacing w:line="276" w:lineRule="auto"/>
        <w:contextualSpacing/>
        <w:jc w:val="both"/>
        <w:rPr>
          <w:color w:val="000000" w:themeColor="text1"/>
          <w:sz w:val="24"/>
          <w:szCs w:val="24"/>
          <w:lang w:eastAsia="it-IT"/>
        </w:rPr>
      </w:pPr>
      <w:r w:rsidRPr="00C67D38">
        <w:rPr>
          <w:color w:val="000000" w:themeColor="text1"/>
          <w:sz w:val="24"/>
          <w:szCs w:val="24"/>
          <w:shd w:val="clear" w:color="auto" w:fill="FFFFFF"/>
          <w:lang w:eastAsia="it-IT"/>
        </w:rPr>
        <w:t>Forme di stato e caratteri della democrazia pluralista</w:t>
      </w:r>
      <w:r>
        <w:rPr>
          <w:color w:val="000000" w:themeColor="text1"/>
          <w:sz w:val="24"/>
          <w:szCs w:val="24"/>
          <w:shd w:val="clear" w:color="auto" w:fill="FFFFFF"/>
          <w:lang w:eastAsia="it-IT"/>
        </w:rPr>
        <w:t>.</w:t>
      </w:r>
    </w:p>
    <w:p w14:paraId="24C50F1A" w14:textId="7ECFDD41" w:rsidR="00C67D38" w:rsidRPr="00C67D38" w:rsidRDefault="00C67D38" w:rsidP="00C67D38">
      <w:pPr>
        <w:widowControl/>
        <w:autoSpaceDE/>
        <w:autoSpaceDN/>
        <w:spacing w:line="276" w:lineRule="auto"/>
        <w:contextualSpacing/>
        <w:jc w:val="both"/>
        <w:rPr>
          <w:color w:val="000000" w:themeColor="text1"/>
          <w:sz w:val="24"/>
          <w:szCs w:val="24"/>
          <w:lang w:eastAsia="it-IT"/>
        </w:rPr>
      </w:pPr>
      <w:r w:rsidRPr="00C67D38">
        <w:rPr>
          <w:color w:val="000000" w:themeColor="text1"/>
          <w:sz w:val="24"/>
          <w:szCs w:val="24"/>
          <w:shd w:val="clear" w:color="auto" w:fill="FFFFFF"/>
          <w:lang w:eastAsia="it-IT"/>
        </w:rPr>
        <w:t>Introduzione ai diritti costituzionali</w:t>
      </w:r>
      <w:r>
        <w:rPr>
          <w:color w:val="000000" w:themeColor="text1"/>
          <w:sz w:val="24"/>
          <w:szCs w:val="24"/>
          <w:shd w:val="clear" w:color="auto" w:fill="FFFFFF"/>
          <w:lang w:eastAsia="it-IT"/>
        </w:rPr>
        <w:t>.</w:t>
      </w:r>
    </w:p>
    <w:p w14:paraId="62EF1F73" w14:textId="07680DCA" w:rsidR="00C67D38" w:rsidRPr="00C67D38" w:rsidRDefault="00C67D38" w:rsidP="00C67D38">
      <w:pPr>
        <w:widowControl/>
        <w:autoSpaceDE/>
        <w:autoSpaceDN/>
        <w:spacing w:line="276" w:lineRule="auto"/>
        <w:contextualSpacing/>
        <w:jc w:val="both"/>
        <w:rPr>
          <w:color w:val="000000" w:themeColor="text1"/>
          <w:sz w:val="24"/>
          <w:szCs w:val="24"/>
          <w:lang w:eastAsia="it-IT"/>
        </w:rPr>
      </w:pPr>
      <w:r w:rsidRPr="00C67D38">
        <w:rPr>
          <w:color w:val="000000" w:themeColor="text1"/>
          <w:sz w:val="24"/>
          <w:szCs w:val="24"/>
          <w:shd w:val="clear" w:color="auto" w:fill="FFFFFF"/>
          <w:lang w:eastAsia="it-IT"/>
        </w:rPr>
        <w:t>Le garanzie costituzionali dei diritti e i diritti nella sfera individuale</w:t>
      </w:r>
      <w:r>
        <w:rPr>
          <w:color w:val="000000" w:themeColor="text1"/>
          <w:sz w:val="24"/>
          <w:szCs w:val="24"/>
          <w:shd w:val="clear" w:color="auto" w:fill="FFFFFF"/>
          <w:lang w:eastAsia="it-IT"/>
        </w:rPr>
        <w:t>.</w:t>
      </w:r>
    </w:p>
    <w:p w14:paraId="121A2D8F" w14:textId="3DE5A592" w:rsidR="00C67D38" w:rsidRPr="00C67D38" w:rsidRDefault="00C67D38" w:rsidP="00C67D38">
      <w:pPr>
        <w:widowControl/>
        <w:autoSpaceDE/>
        <w:autoSpaceDN/>
        <w:spacing w:line="276" w:lineRule="auto"/>
        <w:contextualSpacing/>
        <w:jc w:val="both"/>
        <w:rPr>
          <w:color w:val="000000" w:themeColor="text1"/>
          <w:sz w:val="24"/>
          <w:szCs w:val="24"/>
          <w:lang w:eastAsia="it-IT"/>
        </w:rPr>
      </w:pPr>
      <w:r w:rsidRPr="00C67D38">
        <w:rPr>
          <w:color w:val="000000" w:themeColor="text1"/>
          <w:sz w:val="24"/>
          <w:szCs w:val="24"/>
          <w:shd w:val="clear" w:color="auto" w:fill="FFFFFF"/>
          <w:lang w:eastAsia="it-IT"/>
        </w:rPr>
        <w:t>I diritti nella sfera pubblica</w:t>
      </w:r>
      <w:r>
        <w:rPr>
          <w:color w:val="000000" w:themeColor="text1"/>
          <w:sz w:val="24"/>
          <w:szCs w:val="24"/>
          <w:shd w:val="clear" w:color="auto" w:fill="FFFFFF"/>
          <w:lang w:eastAsia="it-IT"/>
        </w:rPr>
        <w:t>.</w:t>
      </w:r>
    </w:p>
    <w:p w14:paraId="3FCD070B" w14:textId="2E0DABCE" w:rsidR="00C67D38" w:rsidRPr="00C67D38" w:rsidRDefault="00C67D38" w:rsidP="00C67D38">
      <w:pPr>
        <w:widowControl/>
        <w:autoSpaceDE/>
        <w:autoSpaceDN/>
        <w:spacing w:line="276" w:lineRule="auto"/>
        <w:contextualSpacing/>
        <w:jc w:val="both"/>
        <w:rPr>
          <w:color w:val="000000" w:themeColor="text1"/>
          <w:sz w:val="24"/>
          <w:szCs w:val="24"/>
          <w:lang w:eastAsia="it-IT"/>
        </w:rPr>
      </w:pPr>
      <w:r w:rsidRPr="00C67D38">
        <w:rPr>
          <w:color w:val="000000" w:themeColor="text1"/>
          <w:sz w:val="24"/>
          <w:szCs w:val="24"/>
          <w:shd w:val="clear" w:color="auto" w:fill="FFFFFF"/>
          <w:lang w:eastAsia="it-IT"/>
        </w:rPr>
        <w:t>Gli altri diritti costituzionali (diritti sociali, libertà economiche, diritti politici)</w:t>
      </w:r>
      <w:r>
        <w:rPr>
          <w:color w:val="000000" w:themeColor="text1"/>
          <w:sz w:val="24"/>
          <w:szCs w:val="24"/>
          <w:shd w:val="clear" w:color="auto" w:fill="FFFFFF"/>
          <w:lang w:eastAsia="it-IT"/>
        </w:rPr>
        <w:t>.</w:t>
      </w:r>
    </w:p>
    <w:p w14:paraId="2B91330C" w14:textId="5D84C88A" w:rsidR="00C67D38" w:rsidRPr="00C67D38" w:rsidRDefault="00C67D38" w:rsidP="00C67D38">
      <w:pPr>
        <w:widowControl/>
        <w:autoSpaceDE/>
        <w:autoSpaceDN/>
        <w:spacing w:line="276" w:lineRule="auto"/>
        <w:contextualSpacing/>
        <w:jc w:val="both"/>
        <w:rPr>
          <w:color w:val="000000" w:themeColor="text1"/>
          <w:sz w:val="24"/>
          <w:szCs w:val="24"/>
          <w:lang w:eastAsia="it-IT"/>
        </w:rPr>
      </w:pPr>
      <w:r w:rsidRPr="00C67D38">
        <w:rPr>
          <w:color w:val="000000" w:themeColor="text1"/>
          <w:sz w:val="24"/>
          <w:szCs w:val="24"/>
          <w:shd w:val="clear" w:color="auto" w:fill="FFFFFF"/>
          <w:lang w:eastAsia="it-IT"/>
        </w:rPr>
        <w:t>Il regionalismo in Italia</w:t>
      </w:r>
      <w:r>
        <w:rPr>
          <w:color w:val="000000" w:themeColor="text1"/>
          <w:sz w:val="24"/>
          <w:szCs w:val="24"/>
          <w:shd w:val="clear" w:color="auto" w:fill="FFFFFF"/>
          <w:lang w:eastAsia="it-IT"/>
        </w:rPr>
        <w:t>.</w:t>
      </w:r>
    </w:p>
    <w:p w14:paraId="7753ECF4" w14:textId="4A0E33A5" w:rsidR="00C67D38" w:rsidRPr="00C67D38" w:rsidRDefault="00C67D38" w:rsidP="00C67D38">
      <w:pPr>
        <w:widowControl/>
        <w:autoSpaceDE/>
        <w:autoSpaceDN/>
        <w:spacing w:line="276" w:lineRule="auto"/>
        <w:contextualSpacing/>
        <w:jc w:val="both"/>
        <w:rPr>
          <w:color w:val="000000" w:themeColor="text1"/>
          <w:sz w:val="24"/>
          <w:szCs w:val="24"/>
          <w:lang w:eastAsia="it-IT"/>
        </w:rPr>
      </w:pPr>
      <w:r w:rsidRPr="00C67D38">
        <w:rPr>
          <w:color w:val="000000" w:themeColor="text1"/>
          <w:sz w:val="24"/>
          <w:szCs w:val="24"/>
          <w:shd w:val="clear" w:color="auto" w:fill="FFFFFF"/>
          <w:lang w:eastAsia="it-IT"/>
        </w:rPr>
        <w:t>La classificazione delle forme di Governo </w:t>
      </w:r>
      <w:r>
        <w:rPr>
          <w:color w:val="000000" w:themeColor="text1"/>
          <w:sz w:val="24"/>
          <w:szCs w:val="24"/>
          <w:shd w:val="clear" w:color="auto" w:fill="FFFFFF"/>
          <w:lang w:eastAsia="it-IT"/>
        </w:rPr>
        <w:t>.</w:t>
      </w:r>
    </w:p>
    <w:p w14:paraId="4EB25E39" w14:textId="1DE00ECB" w:rsidR="00C67D38" w:rsidRPr="00C67D38" w:rsidRDefault="00C67D38" w:rsidP="00C67D38">
      <w:pPr>
        <w:widowControl/>
        <w:autoSpaceDE/>
        <w:autoSpaceDN/>
        <w:spacing w:line="276" w:lineRule="auto"/>
        <w:contextualSpacing/>
        <w:jc w:val="both"/>
        <w:rPr>
          <w:color w:val="000000" w:themeColor="text1"/>
          <w:sz w:val="24"/>
          <w:szCs w:val="24"/>
          <w:lang w:eastAsia="it-IT"/>
        </w:rPr>
      </w:pPr>
      <w:r w:rsidRPr="00C67D38">
        <w:rPr>
          <w:color w:val="000000" w:themeColor="text1"/>
          <w:sz w:val="24"/>
          <w:szCs w:val="24"/>
          <w:shd w:val="clear" w:color="auto" w:fill="FFFFFF"/>
          <w:lang w:eastAsia="it-IT"/>
        </w:rPr>
        <w:t>La forma di governo parlamentare in Italia</w:t>
      </w:r>
      <w:r>
        <w:rPr>
          <w:color w:val="000000" w:themeColor="text1"/>
          <w:sz w:val="24"/>
          <w:szCs w:val="24"/>
          <w:shd w:val="clear" w:color="auto" w:fill="FFFFFF"/>
          <w:lang w:eastAsia="it-IT"/>
        </w:rPr>
        <w:t>.</w:t>
      </w:r>
    </w:p>
    <w:p w14:paraId="3D276530" w14:textId="37A45105" w:rsidR="00C67D38" w:rsidRPr="00C67D38" w:rsidRDefault="00C67D38" w:rsidP="00C67D38">
      <w:pPr>
        <w:widowControl/>
        <w:autoSpaceDE/>
        <w:autoSpaceDN/>
        <w:spacing w:line="276" w:lineRule="auto"/>
        <w:contextualSpacing/>
        <w:jc w:val="both"/>
        <w:rPr>
          <w:color w:val="000000" w:themeColor="text1"/>
          <w:sz w:val="24"/>
          <w:szCs w:val="24"/>
          <w:lang w:eastAsia="it-IT"/>
        </w:rPr>
      </w:pPr>
      <w:r w:rsidRPr="00C67D38">
        <w:rPr>
          <w:color w:val="000000" w:themeColor="text1"/>
          <w:sz w:val="24"/>
          <w:szCs w:val="24"/>
          <w:shd w:val="clear" w:color="auto" w:fill="FFFFFF"/>
          <w:lang w:eastAsia="it-IT"/>
        </w:rPr>
        <w:t>Il Governo</w:t>
      </w:r>
      <w:r>
        <w:rPr>
          <w:color w:val="000000" w:themeColor="text1"/>
          <w:sz w:val="24"/>
          <w:szCs w:val="24"/>
          <w:shd w:val="clear" w:color="auto" w:fill="FFFFFF"/>
          <w:lang w:eastAsia="it-IT"/>
        </w:rPr>
        <w:t>.</w:t>
      </w:r>
    </w:p>
    <w:p w14:paraId="12F2F33B" w14:textId="2C39C7E2" w:rsidR="00C67D38" w:rsidRPr="00C67D38" w:rsidRDefault="00C67D38" w:rsidP="00C67D38">
      <w:pPr>
        <w:widowControl/>
        <w:autoSpaceDE/>
        <w:autoSpaceDN/>
        <w:spacing w:line="276" w:lineRule="auto"/>
        <w:contextualSpacing/>
        <w:jc w:val="both"/>
        <w:rPr>
          <w:color w:val="000000" w:themeColor="text1"/>
          <w:sz w:val="24"/>
          <w:szCs w:val="24"/>
          <w:lang w:eastAsia="it-IT"/>
        </w:rPr>
      </w:pPr>
      <w:r w:rsidRPr="00C67D38">
        <w:rPr>
          <w:color w:val="000000" w:themeColor="text1"/>
          <w:sz w:val="24"/>
          <w:szCs w:val="24"/>
          <w:shd w:val="clear" w:color="auto" w:fill="FFFFFF"/>
          <w:lang w:eastAsia="it-IT"/>
        </w:rPr>
        <w:t>Il Governo in Parlamento: la programmazione dei lavori parlamentari e la sessione di bilancio</w:t>
      </w:r>
      <w:r>
        <w:rPr>
          <w:color w:val="000000" w:themeColor="text1"/>
          <w:sz w:val="24"/>
          <w:szCs w:val="24"/>
          <w:shd w:val="clear" w:color="auto" w:fill="FFFFFF"/>
          <w:lang w:eastAsia="it-IT"/>
        </w:rPr>
        <w:t>; l</w:t>
      </w:r>
      <w:r w:rsidRPr="00C67D38">
        <w:rPr>
          <w:color w:val="000000" w:themeColor="text1"/>
          <w:sz w:val="24"/>
          <w:szCs w:val="24"/>
          <w:shd w:val="clear" w:color="auto" w:fill="FFFFFF"/>
          <w:lang w:eastAsia="it-IT"/>
        </w:rPr>
        <w:t>a politica estera del Governo e i rapporti con le istituzioni dell’Unione europea. Fase ascendente e discendente del diritto dell’Unione europea</w:t>
      </w:r>
      <w:r>
        <w:rPr>
          <w:color w:val="000000" w:themeColor="text1"/>
          <w:sz w:val="24"/>
          <w:szCs w:val="24"/>
          <w:shd w:val="clear" w:color="auto" w:fill="FFFFFF"/>
          <w:lang w:eastAsia="it-IT"/>
        </w:rPr>
        <w:t>; l</w:t>
      </w:r>
      <w:r w:rsidRPr="00C67D38">
        <w:rPr>
          <w:color w:val="000000" w:themeColor="text1"/>
          <w:sz w:val="24"/>
          <w:szCs w:val="24"/>
          <w:shd w:val="clear" w:color="auto" w:fill="FFFFFF"/>
          <w:lang w:eastAsia="it-IT"/>
        </w:rPr>
        <w:t>a politica militare; la politica di informazione e sicurezza; i rapporti tra gli organi di indirizzo politico nella fase dell’emergenza.</w:t>
      </w:r>
    </w:p>
    <w:p w14:paraId="2FC158E9" w14:textId="77777777" w:rsidR="00C67D38" w:rsidRPr="00C67D38" w:rsidRDefault="00C67D38" w:rsidP="00C67D38">
      <w:pPr>
        <w:widowControl/>
        <w:autoSpaceDE/>
        <w:autoSpaceDN/>
        <w:spacing w:line="276" w:lineRule="auto"/>
        <w:contextualSpacing/>
        <w:jc w:val="both"/>
        <w:rPr>
          <w:color w:val="000000" w:themeColor="text1"/>
          <w:sz w:val="24"/>
          <w:szCs w:val="24"/>
          <w:lang w:eastAsia="it-IT"/>
        </w:rPr>
      </w:pPr>
      <w:r w:rsidRPr="00C67D38">
        <w:rPr>
          <w:color w:val="000000" w:themeColor="text1"/>
          <w:sz w:val="24"/>
          <w:szCs w:val="24"/>
          <w:shd w:val="clear" w:color="auto" w:fill="FFFFFF"/>
          <w:lang w:eastAsia="it-IT"/>
        </w:rPr>
        <w:t>Considerazioni generali ed introduttive su organizzazione e funzionamento della Corte costituzionale.</w:t>
      </w:r>
    </w:p>
    <w:p w14:paraId="4D371E43" w14:textId="3FB5E412" w:rsidR="00C67D38" w:rsidRPr="00C67D38" w:rsidRDefault="00C67D38" w:rsidP="00C67D38">
      <w:pPr>
        <w:widowControl/>
        <w:autoSpaceDE/>
        <w:autoSpaceDN/>
        <w:spacing w:line="276" w:lineRule="auto"/>
        <w:contextualSpacing/>
        <w:jc w:val="both"/>
        <w:rPr>
          <w:color w:val="000000" w:themeColor="text1"/>
          <w:sz w:val="24"/>
          <w:szCs w:val="24"/>
          <w:lang w:eastAsia="it-IT"/>
        </w:rPr>
      </w:pPr>
      <w:r w:rsidRPr="00C67D38">
        <w:rPr>
          <w:color w:val="000000" w:themeColor="text1"/>
          <w:sz w:val="24"/>
          <w:szCs w:val="24"/>
          <w:shd w:val="clear" w:color="auto" w:fill="FFFFFF"/>
          <w:lang w:eastAsia="it-IT"/>
        </w:rPr>
        <w:t>Il sindacato di costituzionalità delle leggi: aspetti sostanziali e processuali</w:t>
      </w:r>
      <w:r>
        <w:rPr>
          <w:color w:val="000000" w:themeColor="text1"/>
          <w:sz w:val="24"/>
          <w:szCs w:val="24"/>
          <w:shd w:val="clear" w:color="auto" w:fill="FFFFFF"/>
          <w:lang w:eastAsia="it-IT"/>
        </w:rPr>
        <w:t>.</w:t>
      </w:r>
    </w:p>
    <w:p w14:paraId="1682F105" w14:textId="3FFB5E81" w:rsidR="00C67D38" w:rsidRPr="00C67D38" w:rsidRDefault="00C67D38" w:rsidP="00C67D38">
      <w:pPr>
        <w:widowControl/>
        <w:autoSpaceDE/>
        <w:autoSpaceDN/>
        <w:spacing w:line="276" w:lineRule="auto"/>
        <w:contextualSpacing/>
        <w:jc w:val="both"/>
        <w:rPr>
          <w:color w:val="000000" w:themeColor="text1"/>
          <w:sz w:val="24"/>
          <w:szCs w:val="24"/>
          <w:lang w:eastAsia="it-IT"/>
        </w:rPr>
      </w:pPr>
      <w:r w:rsidRPr="00C67D38">
        <w:rPr>
          <w:color w:val="000000" w:themeColor="text1"/>
          <w:sz w:val="24"/>
          <w:szCs w:val="24"/>
          <w:shd w:val="clear" w:color="auto" w:fill="FFFFFF"/>
          <w:lang w:eastAsia="it-IT"/>
        </w:rPr>
        <w:t>Le altre competenze della Corte (conflitti di attribuzione; giudizio di ammissibilità del referendum; giustizia politica)</w:t>
      </w:r>
      <w:r>
        <w:rPr>
          <w:color w:val="000000" w:themeColor="text1"/>
          <w:sz w:val="24"/>
          <w:szCs w:val="24"/>
          <w:shd w:val="clear" w:color="auto" w:fill="FFFFFF"/>
          <w:lang w:eastAsia="it-IT"/>
        </w:rPr>
        <w:t>.</w:t>
      </w:r>
    </w:p>
    <w:p w14:paraId="13513475" w14:textId="77777777" w:rsidR="00C67D38" w:rsidRPr="00C67D38" w:rsidRDefault="00C67D38" w:rsidP="00C67D38">
      <w:pPr>
        <w:widowControl/>
        <w:autoSpaceDE/>
        <w:autoSpaceDN/>
        <w:spacing w:line="276" w:lineRule="auto"/>
        <w:contextualSpacing/>
        <w:jc w:val="both"/>
        <w:rPr>
          <w:color w:val="000000" w:themeColor="text1"/>
          <w:sz w:val="24"/>
          <w:szCs w:val="24"/>
          <w:lang w:eastAsia="it-IT"/>
        </w:rPr>
      </w:pPr>
      <w:r w:rsidRPr="00C67D38">
        <w:rPr>
          <w:color w:val="000000" w:themeColor="text1"/>
          <w:sz w:val="24"/>
          <w:szCs w:val="24"/>
          <w:lang w:eastAsia="it-IT"/>
        </w:rPr>
        <w:t>La procedura di accusa nei giudizi contro il Capo dello Stato; la disciplina sui reati ministeriali dopo la riforma del 1989; considerazioni conclusive sul ruolo della Corte costituzionale oggi.</w:t>
      </w:r>
    </w:p>
    <w:p w14:paraId="3159FB6E" w14:textId="677EF8BA" w:rsidR="00AB631A" w:rsidRPr="00C67D38" w:rsidRDefault="00AB631A" w:rsidP="00C67D38">
      <w:pPr>
        <w:pStyle w:val="Corpotesto"/>
        <w:spacing w:line="276" w:lineRule="auto"/>
        <w:ind w:left="813"/>
        <w:jc w:val="both"/>
        <w:rPr>
          <w:color w:val="000000" w:themeColor="text1"/>
        </w:rPr>
      </w:pPr>
    </w:p>
    <w:sectPr w:rsidR="00AB631A" w:rsidRPr="00C67D38" w:rsidSect="00FB476C">
      <w:headerReference w:type="default" r:id="rId7"/>
      <w:type w:val="continuous"/>
      <w:pgSz w:w="11910" w:h="16840"/>
      <w:pgMar w:top="1417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0AFE0" w14:textId="77777777" w:rsidR="00CC030C" w:rsidRDefault="00CC030C" w:rsidP="00483307">
      <w:r>
        <w:separator/>
      </w:r>
    </w:p>
  </w:endnote>
  <w:endnote w:type="continuationSeparator" w:id="0">
    <w:p w14:paraId="01FC06CD" w14:textId="77777777" w:rsidR="00CC030C" w:rsidRDefault="00CC030C" w:rsidP="00483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5214A" w14:textId="77777777" w:rsidR="00CC030C" w:rsidRDefault="00CC030C" w:rsidP="00483307">
      <w:r>
        <w:separator/>
      </w:r>
    </w:p>
  </w:footnote>
  <w:footnote w:type="continuationSeparator" w:id="0">
    <w:p w14:paraId="328A1B28" w14:textId="77777777" w:rsidR="00CC030C" w:rsidRDefault="00CC030C" w:rsidP="00483307">
      <w:r>
        <w:continuationSeparator/>
      </w:r>
    </w:p>
  </w:footnote>
  <w:footnote w:id="1">
    <w:p w14:paraId="6D945932" w14:textId="06D9772A" w:rsidR="00483307" w:rsidRDefault="00483307">
      <w:pPr>
        <w:pStyle w:val="Testonotaapidipagina"/>
      </w:pPr>
      <w:r>
        <w:rPr>
          <w:rStyle w:val="Rimandonotaapidipagina"/>
        </w:rPr>
        <w:footnoteRef/>
      </w:r>
      <w:r>
        <w:t xml:space="preserve"> TUTTI I PROGRAMMI SONO ORIENTATIVI E SUSCETTIBILI DI MODIFICAZIONI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70285" w14:textId="664517BD" w:rsidR="00E55D23" w:rsidRDefault="00E55D23" w:rsidP="00E55D23">
    <w:pPr>
      <w:pStyle w:val="Intestazione"/>
      <w:jc w:val="center"/>
    </w:pPr>
    <w:r>
      <w:rPr>
        <w:noProof/>
      </w:rPr>
      <w:drawing>
        <wp:inline distT="0" distB="0" distL="0" distR="0" wp14:anchorId="03AC8C4C" wp14:editId="0D8F02E6">
          <wp:extent cx="1920240" cy="61361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391" cy="623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31A"/>
    <w:rsid w:val="002D15FC"/>
    <w:rsid w:val="00483307"/>
    <w:rsid w:val="00564FA1"/>
    <w:rsid w:val="008C06E3"/>
    <w:rsid w:val="00AB631A"/>
    <w:rsid w:val="00B13FB7"/>
    <w:rsid w:val="00B23226"/>
    <w:rsid w:val="00C67D38"/>
    <w:rsid w:val="00CC030C"/>
    <w:rsid w:val="00E55D23"/>
    <w:rsid w:val="00E9523B"/>
    <w:rsid w:val="00FB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2AB53"/>
  <w15:docId w15:val="{8D7B69AD-30DA-E44E-BA9A-C84E98C3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241"/>
      <w:ind w:left="121" w:right="122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523B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523B"/>
    <w:rPr>
      <w:rFonts w:ascii="Times New Roman" w:eastAsia="Times New Roman" w:hAnsi="Times New Roman" w:cs="Times New Roman"/>
      <w:sz w:val="18"/>
      <w:szCs w:val="18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8330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83307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83307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55D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5D2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55D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5D23"/>
    <w:rPr>
      <w:rFonts w:ascii="Times New Roman" w:eastAsia="Times New Roman" w:hAnsi="Times New Roman" w:cs="Times New Roman"/>
      <w:lang w:val="it-IT"/>
    </w:rPr>
  </w:style>
  <w:style w:type="paragraph" w:styleId="NormaleWeb">
    <w:name w:val="Normal (Web)"/>
    <w:basedOn w:val="Normale"/>
    <w:uiPriority w:val="99"/>
    <w:semiHidden/>
    <w:unhideWhenUsed/>
    <w:rsid w:val="00C67D3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67D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921F59-E817-BA43-8FD3-50A496E6F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apponi franca</dc:creator>
  <cp:lastModifiedBy>Gaetano Reda</cp:lastModifiedBy>
  <cp:revision>3</cp:revision>
  <cp:lastPrinted>2023-10-31T11:37:00Z</cp:lastPrinted>
  <dcterms:created xsi:type="dcterms:W3CDTF">2023-10-31T11:37:00Z</dcterms:created>
  <dcterms:modified xsi:type="dcterms:W3CDTF">2023-10-31T11:37:00Z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2023-02-20T00:00:00Z</vt:filetime>
  </property>
</Properties>
</file>